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AC4" w:rsidRPr="006F6E21" w:rsidRDefault="00505E36" w:rsidP="00505E36">
      <w:pPr>
        <w:ind w:left="-426" w:right="-1361" w:hanging="66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F6E21">
        <w:rPr>
          <w:rFonts w:ascii="Arial" w:hAnsi="Arial" w:cs="Arial"/>
          <w:bCs/>
          <w:noProof/>
          <w:color w:val="000000" w:themeColor="text1"/>
          <w:sz w:val="20"/>
          <w:szCs w:val="20"/>
        </w:rPr>
        <w:drawing>
          <wp:inline distT="0" distB="0" distL="0" distR="0">
            <wp:extent cx="6438900" cy="1038116"/>
            <wp:effectExtent l="19050" t="0" r="0" b="0"/>
            <wp:docPr id="2" name="Picture 1" descr="C:\Documents and Settings\melda.dogan\Desktop\sirküler head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lda.dogan\Desktop\sirküler head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03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448" w:rsidRPr="006F6E21" w:rsidRDefault="00201448" w:rsidP="00CB1DD3">
      <w:pPr>
        <w:ind w:left="-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201448" w:rsidRPr="006F6E21" w:rsidRDefault="00162098" w:rsidP="00B42766">
      <w:pPr>
        <w:ind w:left="-360" w:right="-47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6F6E21">
        <w:rPr>
          <w:rFonts w:ascii="Arial" w:hAnsi="Arial" w:cs="Arial"/>
          <w:bCs/>
          <w:color w:val="000000" w:themeColor="text1"/>
        </w:rPr>
        <w:t>Sosyal Güvenlik ve İş Hukuku Sirküle</w:t>
      </w:r>
      <w:r w:rsidR="00DE50C5">
        <w:rPr>
          <w:rFonts w:ascii="Arial" w:hAnsi="Arial" w:cs="Arial"/>
          <w:bCs/>
          <w:color w:val="000000" w:themeColor="text1"/>
        </w:rPr>
        <w:t>r No: 24</w:t>
      </w:r>
      <w:r w:rsidRPr="006F6E21">
        <w:rPr>
          <w:rFonts w:ascii="Arial" w:hAnsi="Arial" w:cs="Arial"/>
          <w:bCs/>
          <w:color w:val="000000" w:themeColor="text1"/>
        </w:rPr>
        <w:t xml:space="preserve">                              </w:t>
      </w:r>
      <w:r w:rsidR="00B24AFE" w:rsidRPr="006F6E21">
        <w:rPr>
          <w:rFonts w:ascii="Arial" w:hAnsi="Arial" w:cs="Arial"/>
          <w:bCs/>
          <w:color w:val="000000" w:themeColor="text1"/>
        </w:rPr>
        <w:t xml:space="preserve">İstanbul, </w:t>
      </w:r>
      <w:r w:rsidR="00153E1B">
        <w:rPr>
          <w:rFonts w:ascii="Arial" w:hAnsi="Arial" w:cs="Arial"/>
          <w:bCs/>
          <w:color w:val="000000" w:themeColor="text1"/>
        </w:rPr>
        <w:t>14</w:t>
      </w:r>
      <w:r w:rsidRPr="006F6E21">
        <w:rPr>
          <w:rFonts w:ascii="Arial" w:hAnsi="Arial" w:cs="Arial"/>
          <w:bCs/>
          <w:color w:val="000000" w:themeColor="text1"/>
        </w:rPr>
        <w:t xml:space="preserve"> </w:t>
      </w:r>
      <w:r w:rsidR="00D26B6B">
        <w:rPr>
          <w:rFonts w:ascii="Arial" w:hAnsi="Arial" w:cs="Arial"/>
          <w:bCs/>
          <w:color w:val="000000" w:themeColor="text1"/>
        </w:rPr>
        <w:t>Haziran</w:t>
      </w:r>
      <w:r w:rsidR="001D2F1D" w:rsidRPr="006F6E21">
        <w:rPr>
          <w:rFonts w:ascii="Arial" w:hAnsi="Arial" w:cs="Arial"/>
          <w:bCs/>
          <w:color w:val="000000" w:themeColor="text1"/>
        </w:rPr>
        <w:t xml:space="preserve"> 2019</w:t>
      </w:r>
    </w:p>
    <w:tbl>
      <w:tblPr>
        <w:tblpPr w:leftFromText="141" w:rightFromText="141" w:vertAnchor="text" w:horzAnchor="page" w:tblpX="1131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6F6E21" w:rsidRPr="006F6E21" w:rsidTr="001C2E9A">
        <w:trPr>
          <w:trHeight w:val="416"/>
        </w:trPr>
        <w:tc>
          <w:tcPr>
            <w:tcW w:w="7513" w:type="dxa"/>
          </w:tcPr>
          <w:p w:rsidR="00150910" w:rsidRPr="006F6E21" w:rsidRDefault="00150910" w:rsidP="006803F9">
            <w:pPr>
              <w:rPr>
                <w:rFonts w:ascii="Arial" w:hAnsi="Arial" w:cs="Arial"/>
                <w:b/>
                <w:color w:val="000000" w:themeColor="text1"/>
                <w:sz w:val="10"/>
                <w:szCs w:val="10"/>
              </w:rPr>
            </w:pPr>
          </w:p>
          <w:p w:rsidR="002378AD" w:rsidRPr="00D26B6B" w:rsidRDefault="00736A67" w:rsidP="00D26B6B">
            <w:pPr>
              <w:ind w:left="720" w:hanging="720"/>
              <w:rPr>
                <w:color w:val="000000" w:themeColor="text1"/>
              </w:rPr>
            </w:pPr>
            <w:r w:rsidRPr="006F6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Konu:</w:t>
            </w:r>
            <w:r w:rsidR="006E19F3" w:rsidRPr="006F6E2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73474" w:rsidRPr="00F2751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“</w:t>
            </w:r>
            <w:r w:rsidR="00153E48" w:rsidRPr="00153E48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Prim teşviki, destek ve indirim uygulamalarına ilişkin 2019/15 sayılı SGK Genelgesi </w:t>
            </w:r>
            <w:r w:rsidR="00153E48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y</w:t>
            </w:r>
            <w:r w:rsidR="00D26B6B" w:rsidRPr="00F27512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ayımlandı</w:t>
            </w:r>
            <w:r w:rsidR="00E75EE0" w:rsidRPr="00F27512">
              <w:rPr>
                <w:rFonts w:asciiTheme="minorBidi" w:hAnsiTheme="minorBidi" w:cstheme="minorBidi"/>
                <w:bCs/>
                <w:color w:val="000000" w:themeColor="text1"/>
                <w:sz w:val="22"/>
                <w:szCs w:val="22"/>
              </w:rPr>
              <w:t>”</w:t>
            </w:r>
          </w:p>
        </w:tc>
      </w:tr>
    </w:tbl>
    <w:p w:rsidR="00201448" w:rsidRPr="006F6E21" w:rsidRDefault="00201448" w:rsidP="00201448">
      <w:pPr>
        <w:ind w:left="-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page" w:tblpX="8619" w:tblpY="105"/>
        <w:tblW w:w="2448" w:type="dxa"/>
        <w:tblLook w:val="01E0" w:firstRow="1" w:lastRow="1" w:firstColumn="1" w:lastColumn="1" w:noHBand="0" w:noVBand="0"/>
      </w:tblPr>
      <w:tblGrid>
        <w:gridCol w:w="2448"/>
      </w:tblGrid>
      <w:tr w:rsidR="006F6E21" w:rsidRPr="006F6E21" w:rsidTr="006E013B">
        <w:trPr>
          <w:trHeight w:val="11904"/>
        </w:trPr>
        <w:tc>
          <w:tcPr>
            <w:tcW w:w="2448" w:type="dxa"/>
            <w:shd w:val="clear" w:color="auto" w:fill="E6E6E6"/>
          </w:tcPr>
          <w:p w:rsidR="006A798D" w:rsidRPr="006F6E21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016180" w:rsidRPr="006F6E21" w:rsidRDefault="00016180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6A798D" w:rsidRPr="006F6E21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:rsidR="006A798D" w:rsidRPr="006F6E21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Kuzey YMM ve Bağımsız Denetim A.Ş.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Maslak Mahallesi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Eski Büyükdere Cad.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Orjin</w:t>
            </w:r>
            <w:proofErr w:type="spellEnd"/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Maslak Plaza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No: 27 Kat: 1-5 Sarıyer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İstanbul - Turkey 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Tel: +90 (212) 315 30 00</w:t>
            </w:r>
          </w:p>
          <w:p w:rsidR="00AD29F6" w:rsidRPr="006F6E21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Fax</w:t>
            </w:r>
            <w:proofErr w:type="spellEnd"/>
            <w:r w:rsidRPr="006F6E21">
              <w:rPr>
                <w:rFonts w:ascii="Arial" w:hAnsi="Arial" w:cs="Arial"/>
                <w:color w:val="000000" w:themeColor="text1"/>
                <w:sz w:val="16"/>
                <w:szCs w:val="16"/>
              </w:rPr>
              <w:t>: +90 (212) 234 10 67</w:t>
            </w:r>
          </w:p>
          <w:p w:rsidR="00AD29F6" w:rsidRPr="006F6E21" w:rsidRDefault="0050278F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hyperlink r:id="rId9" w:history="1">
              <w:r w:rsidR="00AD29F6" w:rsidRPr="006F6E21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www.vergidegundem.com</w:t>
              </w:r>
            </w:hyperlink>
          </w:p>
          <w:p w:rsidR="00AD29F6" w:rsidRPr="006F6E21" w:rsidRDefault="0050278F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hyperlink r:id="rId10" w:history="1">
              <w:r w:rsidR="00AD29F6" w:rsidRPr="006F6E21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www.ey.com</w:t>
              </w:r>
            </w:hyperlink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4C7F86" w:rsidRPr="006F6E21" w:rsidRDefault="004C7F8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3A46DE" w:rsidRPr="006F6E21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3A46DE" w:rsidRPr="006F6E21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1D4406" w:rsidRPr="006F6E21" w:rsidRDefault="001D440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3F5F20" w:rsidRPr="006F6E21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3F5F20" w:rsidRPr="006F6E21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A02F9B" w:rsidRPr="006F6E21" w:rsidRDefault="00D06A25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F6E2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Bu dokümanda yer alan açıklamalarımız, konuya ilişkin genel bilgiler içermektedir. EY ve/veya Kuzey YMM ve Bağımsız Denetim </w:t>
            </w:r>
            <w:proofErr w:type="spellStart"/>
            <w:r w:rsidRPr="006F6E2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A.Ş.’ye</w:t>
            </w:r>
            <w:proofErr w:type="spellEnd"/>
            <w:r w:rsidRPr="006F6E2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, işbu dokümanın içeriğinden</w:t>
            </w:r>
            <w:r w:rsidR="00A02F9B" w:rsidRPr="006F6E21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kaynaklanan veya içeriğine ilişkin olarak ortaya çıkan sonuçlardan dolayı herhangi bir sorumluluk iddiasında bulunulamaz.</w:t>
            </w:r>
          </w:p>
        </w:tc>
      </w:tr>
    </w:tbl>
    <w:p w:rsidR="006E40EC" w:rsidRPr="00EF40AC" w:rsidRDefault="006E40EC" w:rsidP="00201448">
      <w:pPr>
        <w:ind w:left="-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X="-288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6F6E21" w:rsidRPr="00EF40AC" w:rsidTr="00B9493E">
        <w:trPr>
          <w:trHeight w:val="1124"/>
        </w:trPr>
        <w:tc>
          <w:tcPr>
            <w:tcW w:w="7513" w:type="dxa"/>
          </w:tcPr>
          <w:p w:rsidR="0096269E" w:rsidRPr="00EF40AC" w:rsidRDefault="0096269E" w:rsidP="006510D6">
            <w:pPr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</w:pPr>
          </w:p>
          <w:p w:rsidR="00D26B6B" w:rsidRPr="00EF40AC" w:rsidRDefault="00F66E40" w:rsidP="00153E48">
            <w:pPr>
              <w:ind w:right="39"/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</w:pPr>
            <w:r w:rsidRPr="00C27BEF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Özet:</w:t>
            </w:r>
            <w:r w:rsidR="00813081" w:rsidRPr="00EF40AC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53E48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Vakıflar tarafından kurulan yükseköğretim kurumları, okul aile birlikleri ve özel </w:t>
            </w:r>
            <w:r w:rsidR="00114C2C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sektör </w:t>
            </w:r>
            <w:r w:rsidR="00153E48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sağlık kuruluşlarına yönelik prim teşviki, destek ve indirim uygulamalarına ilişkin 2019/15 sayılı SGK Genelgesi yayımlanmıştır. </w:t>
            </w:r>
          </w:p>
          <w:p w:rsidR="00D26B6B" w:rsidRPr="00EF40AC" w:rsidRDefault="00D26B6B" w:rsidP="00AF0D4D">
            <w:pPr>
              <w:ind w:right="39"/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ED1376" w:rsidRDefault="006872B1" w:rsidP="00C27BEF">
      <w:pPr>
        <w:tabs>
          <w:tab w:val="left" w:pos="1700"/>
        </w:tabs>
        <w:ind w:left="-284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Bilindiği üzere, </w:t>
      </w:r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21.03.2018 tarihinde </w:t>
      </w:r>
      <w:proofErr w:type="gramStart"/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Resmi</w:t>
      </w:r>
      <w:proofErr w:type="gramEnd"/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Gazete’de</w:t>
      </w:r>
      <w:proofErr w:type="spellEnd"/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yayımlanan </w:t>
      </w:r>
      <w:r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7103 </w:t>
      </w:r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sayılı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Kanun ile 5510 sayılı Kanun’a eklenen ek 16. madde </w:t>
      </w:r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ile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</w:t>
      </w:r>
      <w:r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akıflar tarafından kurulan yükseköğretim kurumları, okul aile birlikleri ile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SGK’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nın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yurt içinde hizmet satın aldığı vakıf üniversi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teleri ve özel sektör işyerlerinin</w:t>
      </w:r>
      <w:r w:rsidR="004E7E73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de </w:t>
      </w:r>
      <w:r w:rsid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ilgili </w:t>
      </w:r>
      <w:r w:rsidR="00615D66"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Kanunlarda yer alan prim teşviki, deste</w:t>
      </w:r>
      <w:r w:rsid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k ve indirimlerinden yararlana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bilmesi mümkün hale gelmiştir. Düzenleme kapsamında yukarıda belirtilen işyerleri</w:t>
      </w:r>
      <w:r w:rsid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ilgili </w:t>
      </w:r>
      <w:r w:rsidR="00615D66" w:rsidRP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maddenin yürürlüğe gird</w:t>
      </w:r>
      <w:r w:rsid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iği tarihe kadar olan dönemler için prim teşvik ve desteklerinden </w:t>
      </w:r>
      <w:r w:rsidR="00615D66" w:rsidRP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usulüne uy</w:t>
      </w:r>
      <w:r w:rsidR="00615D6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gun olarak yararlanmış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sayılmaktadır. Söz konusu işyerleri 7103 sayılı Kanun ile 5510 sayılı Kanun’a eklen</w:t>
      </w:r>
      <w:r w:rsidR="0059225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en ek 17. madde kapsamında 01.06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.2018 tarihine kadar başvuruda bulunmuş olmak şartıyla istihdam teşvik ve desteklerinden geriye yönelik olarak da yararlanabilmektedir.</w:t>
      </w:r>
    </w:p>
    <w:p w:rsidR="00ED1376" w:rsidRDefault="00ED1376" w:rsidP="00ED1376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AD53A5" w:rsidRDefault="00AD53A5" w:rsidP="00AD53A5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</w:t>
      </w:r>
      <w:r w:rsidR="00ED1376"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akıflar tarafından kurulan yükseköğretim kurumları, okul aile birlikleri ile 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SGK’ </w:t>
      </w:r>
      <w:proofErr w:type="spellStart"/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nın</w:t>
      </w:r>
      <w:proofErr w:type="spellEnd"/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D1376" w:rsidRPr="006872B1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yurt içinde hizmet satın aldığı vakıf üniversi</w:t>
      </w:r>
      <w:r w:rsidR="00ED137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teleri ve özel sektör işyerlerinin istihdam teşvik ve desteklerinden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yararlanması konusunda 30.05.2019 tarihli 2019/15 sayılı SGK Genelgesinde yer alan hususlar aşağıda dikkatinize sunulmuştur. </w:t>
      </w:r>
    </w:p>
    <w:p w:rsidR="00AD53A5" w:rsidRDefault="00AD53A5" w:rsidP="00AD53A5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AD53A5" w:rsidRPr="00AC3544" w:rsidRDefault="00AD53A5" w:rsidP="00AC3544">
      <w:pPr>
        <w:pStyle w:val="ListParagraph"/>
        <w:numPr>
          <w:ilvl w:val="0"/>
          <w:numId w:val="13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 xml:space="preserve">Vakıflar tarafından kurulan yükseköğretim kurumlan ve okul aile birlikleri </w:t>
      </w:r>
      <w:r w:rsidR="005837D2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açısından</w:t>
      </w: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 xml:space="preserve"> prim teşviki, destek ve indirim uygulamaları</w:t>
      </w:r>
    </w:p>
    <w:p w:rsidR="00AD53A5" w:rsidRPr="00AD53A5" w:rsidRDefault="00AD53A5" w:rsidP="00AD53A5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Pr="00AD53A5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</w:t>
      </w:r>
      <w:r w:rsidRPr="00AD53A5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akıflar tarafından kurulan yükseköğretim kurumu işyerleri ile okul aile birliği işyerlerinin </w:t>
      </w:r>
      <w:r w:rsidR="00AD53A5" w:rsidRPr="00AD53A5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5510 sayılı Kanunun 81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. maddesine </w:t>
      </w:r>
      <w:r w:rsidR="00AD53A5" w:rsidRPr="00AD53A5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eklenen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hükmün</w:t>
      </w:r>
      <w:r w:rsidR="00AD53A5" w:rsidRPr="00AD53A5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yürürlüğe girdiği </w:t>
      </w:r>
      <w:r w:rsidR="00AD53A5" w:rsidRPr="00AD53A5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9/12/2016</w:t>
      </w:r>
      <w:r w:rsidR="00AD53A5" w:rsidRPr="00AD53A5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tarihinden itibaren malullük, yaşlılık ve ölüm sigorta primlerinde beş puanlık i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ndirimden yararlanmaları mümkündür.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Diğer taraftan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, 5510 sayılı Kanunun ek 16.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maddesi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kapsamında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vakıflar tarafından kurulan yükseköğretim kurumu işyerleri ile okul aile bir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liği işyerlerinin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2018/Nisan ayı/dönemine ilişkin bildirimlerden itibaren; 5510 sayılı Kanun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’ da sayılan diğer destekler,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4447 sayılı Kanun, 4857 sayılı Kanun, 5746 sayılı Kanun, 5225 sayılı Kanun, 3294 sayılı Kanun ve 2828 sayılı Kanunda öngörülen prim teşviki, destek ve indirimler il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e diğer kanunlarla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düzenlenen/düzenlenecek prim teşviki, destek ve indirimlerden, ilgili mevzuatında yer alan şartların sağlanması kaydıyla yararlanabileceklerdir.</w:t>
      </w:r>
    </w:p>
    <w:p w:rsidR="00AD53A5" w:rsidRPr="00AD53A5" w:rsidRDefault="00AD53A5" w:rsidP="00AD53A5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A4F3A" w:rsidRPr="00EA4F3A" w:rsidRDefault="00EA4F3A" w:rsidP="00EA4F3A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Bununla birlikte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, 5510 sayılı Kanunun ek 16. </w:t>
      </w: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maddesinin ikinci fıkrasında yer alan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hüküm uyarınca</w:t>
      </w:r>
    </w:p>
    <w:p w:rsidR="008F5FF2" w:rsidRDefault="00EA4F3A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 w:rsidRPr="00EA4F3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vakıflar tarafından kurulan yükseköğretim kurumu işyerleri ile okul aile birliği işyerlerinin prim teşviki, destek ve indirimlere ilişkin yasal düzenlemelerin yürürlüğe girdiği tarihler ile 2018/Mart ve öncesi aylar/dönemler arasındaki sürelere ilişkin olmak üzere, işyeri statüsü dışındaki diğer şartların yerine getirilmesi nedeniyle ilgili mevzuata uygun olarak yararlandıkları prim teşviki, destek ve indirimler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den usulüne uygun olarak yararlandıkları kabul edilecek ve herhangi bir iptal işlemi yapılmayacaktır.</w:t>
      </w:r>
    </w:p>
    <w:p w:rsidR="008F5FF2" w:rsidRDefault="008F5FF2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F76496" w:rsidRPr="00AC3544" w:rsidRDefault="00F76496" w:rsidP="00AC3544">
      <w:pPr>
        <w:pStyle w:val="ListParagraph"/>
        <w:numPr>
          <w:ilvl w:val="0"/>
          <w:numId w:val="13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 xml:space="preserve">Okul aile birliği işyerleri tarafından yersiz yararlanıldığı tespit edilen </w:t>
      </w:r>
      <w:r w:rsidR="005837D2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tutarların işverenlere iadesi</w:t>
      </w:r>
    </w:p>
    <w:p w:rsidR="00F76496" w:rsidRDefault="00F76496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8F5FF2" w:rsidRDefault="00F76496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Okul aile birliği işyerleri tarafından y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ukarıda yer verilen açıklamalar kapsamında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yararlanılmış 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olmakla birlikte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Sigorta Primleri Genel Müdürlüğü talimatları doğrultusunda iptal edilmiş prim teşvik</w:t>
      </w:r>
      <w:r w:rsidR="008F5FF2"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, deste</w:t>
      </w:r>
      <w:r w:rsid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k ve indirimleri hakkında </w:t>
      </w:r>
      <w:r w:rsidR="008F5FF2"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usulüne uygun olarak yararlandıkları kabul edilmek suretiyle işlem yapılacaktır.</w:t>
      </w:r>
    </w:p>
    <w:p w:rsidR="008F5FF2" w:rsidRPr="00AD53A5" w:rsidRDefault="008F5FF2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8F5FF2" w:rsidRDefault="008F5FF2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İlgili mevzuata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uygun olarak yararlan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ılmış olmasına 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rağmen, işyeri statüsü nedeniyle iptal edilen prim teşviki, destek ve indirimler için okul aile birliği işyerlerinden başvuru ya da belge istenilmeksizin </w:t>
      </w:r>
      <w:proofErr w:type="spellStart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re’sen</w:t>
      </w:r>
      <w:proofErr w:type="spellEnd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kanun </w:t>
      </w:r>
      <w:proofErr w:type="spellStart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no</w:t>
      </w:r>
      <w:proofErr w:type="spellEnd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/belge </w:t>
      </w:r>
      <w:proofErr w:type="spellStart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no</w:t>
      </w:r>
      <w:proofErr w:type="spellEnd"/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değişikliği yapılmak suretiyle, yalnızca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Sigorta Primleri Genel Müdürlüğü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talimatlarına istinaden iptal edilen prim teşviki, destek ve indirimlerden yararlanmaları sağlanacaktır.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Genel Müdürlük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talimatlarına istinaden iptal edilen ve gecikme cezası ve gecikme zammı ile birlikte tahsil edilen prim tutarlarının bulunması halinde,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söz konusu tutarlar 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gecikme cezası ve gecikme zamları da dahil edil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mek suretiyle mahsup ya da iade edilecektir. </w:t>
      </w:r>
    </w:p>
    <w:p w:rsidR="008F5FF2" w:rsidRPr="008F5FF2" w:rsidRDefault="008F5FF2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8F5FF2" w:rsidRPr="00F76496" w:rsidRDefault="008F5FF2" w:rsidP="008F5FF2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</w:pP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Ancak, okul aile birliği işyerleri hakkında </w:t>
      </w:r>
      <w:r w:rsid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Genel Müdürlük</w:t>
      </w:r>
      <w:r w:rsidRPr="008F5FF2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talimatlarına istinaden iptal edilen ve</w:t>
      </w:r>
      <w:r w:rsid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F76496" w:rsidRPr="00F76496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yararlanılan prim teşviki, destek ve indirimlerin başka bir prim teşviki, destek ve indirimlerle değiştirilmesi amacıyla</w:t>
      </w:r>
      <w:r w:rsidR="00F76496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 xml:space="preserve"> iletilmiş talepler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1/6/2018 tarihine kadar olan süred</w:t>
      </w:r>
      <w:r w:rsidR="00F76496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 xml:space="preserve">e talepte bulunulmuş olsa dahi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işleme alınmayacaktır.</w:t>
      </w:r>
    </w:p>
    <w:p w:rsidR="00AD53A5" w:rsidRPr="00AD53A5" w:rsidRDefault="00AD53A5" w:rsidP="00AD53A5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AC3544" w:rsidRDefault="005837D2" w:rsidP="00AC3544">
      <w:pPr>
        <w:pStyle w:val="ListParagraph"/>
        <w:numPr>
          <w:ilvl w:val="0"/>
          <w:numId w:val="13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Vakıflar tarafından kurulan yükseköğretim k</w:t>
      </w:r>
      <w:r w:rsidR="00F76496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urumları v</w:t>
      </w: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e o</w:t>
      </w:r>
      <w:r w:rsidR="00F76496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 xml:space="preserve">kul </w:t>
      </w: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aile birlikleri açısından geriye yönelik prim teşviki, destek ve indirim u</w:t>
      </w:r>
      <w:r w:rsidR="00F76496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ygulamaları</w:t>
      </w:r>
    </w:p>
    <w:p w:rsidR="00AC3544" w:rsidRDefault="00AC3544" w:rsidP="00AC3544">
      <w:pPr>
        <w:pStyle w:val="ListParagraph"/>
        <w:tabs>
          <w:tab w:val="left" w:pos="1700"/>
        </w:tabs>
        <w:ind w:left="0"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</w:p>
    <w:p w:rsidR="00F76496" w:rsidRPr="00AC3544" w:rsidRDefault="005D378F" w:rsidP="00AC3544">
      <w:pPr>
        <w:pStyle w:val="ListParagraph"/>
        <w:numPr>
          <w:ilvl w:val="0"/>
          <w:numId w:val="14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Beş puanlık malullük, yaşlılık ve ölüm sigorta p</w:t>
      </w:r>
      <w:r w:rsidR="00F76496"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rim</w:t>
      </w:r>
      <w:r w:rsidRPr="00AC3544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i desteğ</w:t>
      </w:r>
      <w:r w:rsid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 xml:space="preserve">inden geriye yönelik </w:t>
      </w:r>
      <w:proofErr w:type="spellStart"/>
      <w:r w:rsid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  <w:t>yararlanmılması</w:t>
      </w:r>
      <w:proofErr w:type="spellEnd"/>
    </w:p>
    <w:p w:rsidR="00F76496" w:rsidRPr="00F76496" w:rsidRDefault="00F76496" w:rsidP="00AC3544">
      <w:pPr>
        <w:tabs>
          <w:tab w:val="left" w:pos="1700"/>
        </w:tabs>
        <w:ind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F76496" w:rsidRDefault="005D378F" w:rsidP="00F76496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V</w:t>
      </w:r>
      <w:r w:rsidR="00F76496"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akıflar tarafından kurulan yükseköğretim kurumu işyerleri ile okul aile birliği işyerlerince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bahse konu indirimden</w:t>
      </w:r>
      <w:r w:rsidR="00F76496"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, beş puanlık indirim uygulamasının yürürlüğe girdiği 1/10/2008 tarihinden 6111 sayılı Kanunla yapılan düzenlemenin yürürlüğe girdiği 1/3/2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011 tarihine kadar olan dönem için ancak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1/6/2018 tarihine k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adar başvuruda bulunulmuş olunması koşuluyla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geriye yönelik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olarak 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yararlanılabilecek ve</w:t>
      </w:r>
      <w:r w:rsidR="00F76496"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 xml:space="preserve"> gerekli şartları sağl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 xml:space="preserve">ayan anılan işverenler bu yöndeki </w:t>
      </w:r>
      <w:r w:rsidR="00F76496"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talepler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i</w:t>
      </w:r>
      <w:r w:rsidR="00F76496"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 xml:space="preserve"> işleme alınacaktır.</w:t>
      </w:r>
    </w:p>
    <w:p w:rsidR="00AC3544" w:rsidRDefault="00AC3544" w:rsidP="00F76496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F76496" w:rsidRDefault="00AC3544" w:rsidP="00AC3544">
      <w:pPr>
        <w:tabs>
          <w:tab w:val="left" w:pos="1700"/>
        </w:tabs>
        <w:ind w:left="-360"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</w:rPr>
      </w:pP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Buna karşın, anılan işverenlerce 1/6/2018 tarihine kadar başvuruda bulunulmuş olsa dahi 1/3/2011 tarihi ile 8/12/2016 tarihi (dahil) arasındaki süreler için geriye yönelik olarak beş pua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nlık indirimden 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yararlanılamayacaktır.</w:t>
      </w:r>
    </w:p>
    <w:p w:rsidR="00AC3544" w:rsidRPr="00F76496" w:rsidRDefault="00AC3544" w:rsidP="00AC3544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AC3544" w:rsidRPr="00C27BEF" w:rsidRDefault="00F76496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Öte yandan, </w:t>
      </w:r>
      <w:r w:rsid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söz konusu işverenlerce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9/12/2016 tarihi ile 2018/Mart ve öncesi aylar/dönemler arasındaki sürelere ilişkin olmak üzere, gerekli şartları sağlamaları</w:t>
      </w:r>
      <w:r w:rsid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ve 5510 sayılı Kanunun ek 17.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maddesinin ikinci fıkrası kapsamında 1/6/2018 tarihine kadar başvuruda bulunulmuş olması kaydıyla, bu sürelere ilişkin olarak </w:t>
      </w:r>
      <w:r w:rsidR="00AC3544"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malullük, yaşlılık ve ölüm sigorta primlerinde beş puanlık indirimden </w:t>
      </w:r>
      <w:r w:rsidRPr="00F76496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</w:t>
      </w:r>
      <w:r w:rsid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eriye yönelik olarak </w:t>
      </w:r>
      <w:r w:rsidR="00AC3544" w:rsidRPr="00AC3544">
        <w:rPr>
          <w:rFonts w:asciiTheme="minorBidi" w:hAnsiTheme="minorBidi" w:cstheme="minorBidi"/>
          <w:color w:val="000000" w:themeColor="text1"/>
          <w:sz w:val="22"/>
          <w:szCs w:val="22"/>
          <w:u w:val="single"/>
          <w:shd w:val="clear" w:color="auto" w:fill="FFFFFF"/>
        </w:rPr>
        <w:t>yararlanılabilecektir.</w:t>
      </w:r>
    </w:p>
    <w:p w:rsidR="00AC3544" w:rsidRPr="00F76496" w:rsidRDefault="00AC3544" w:rsidP="00F76496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C27BEF" w:rsidRDefault="00C27BEF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615D66" w:rsidRDefault="00F76496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  <w:r w:rsidRP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Bu kapsamda, vakıflar tarafından kurulan yükseköğretim kurumu işyerleri ile okul aile birliği işyerlerince</w:t>
      </w:r>
      <w:r w:rsid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C3544" w:rsidRP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malullük, yaşlılık ve ölüm sigorta primlerinde beş puanlık indirimden</w:t>
      </w:r>
      <w:r w:rsid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C3544" w:rsidRP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geriye yönelik olarak yararlanmak üzere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 1/6/2018 tarihine kadar talepte bulunulması durumunda, kapsama girmeyen dönemler ya da süreler için e-Bildirge V2 programları üzerinden “Tahakkuk Nedeni D” olarak düzenlenen ve ünite onay ekranlarına düşürülen iptal ve karşılığı ek y</w:t>
      </w:r>
      <w:r w:rsid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a da asıl nitelikteki belgeler onaylanmadan reddedilecek, </w:t>
      </w:r>
      <w:r w:rsidRPr="00AC354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 xml:space="preserve">taleplerin işleme alınarak prim iadesi ya da mahsup işlemlerinin yapıldığının anlaşılması halinde ise </w:t>
      </w:r>
      <w:r w:rsid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  <w:t>yapılan işlemler geri alınacaktır.</w:t>
      </w:r>
    </w:p>
    <w:p w:rsid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</w:rPr>
      </w:pPr>
    </w:p>
    <w:p w:rsidR="00E36B99" w:rsidRPr="00E36B99" w:rsidRDefault="00E36B99" w:rsidP="00114C2C">
      <w:pPr>
        <w:pStyle w:val="ListParagraph"/>
        <w:numPr>
          <w:ilvl w:val="0"/>
          <w:numId w:val="14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Diğer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</w:t>
      </w:r>
      <w:r w:rsidRPr="00E36B99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ndirim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lerinden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dönük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yararlanılması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534920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Vakıflar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yükseköğretim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kurumu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okul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birliği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;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4857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30.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, 5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746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3.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5225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5.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teşviklerinden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desteklerinden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mümkün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dür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  <w:r w:rsidR="0053492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Söz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konusu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işverenleri</w:t>
      </w:r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teşviklerden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dönük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talepler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5510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17.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1/6/2018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hine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bulunmuş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olmaları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bahse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teşviklere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şartları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sağlamaları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koşuluyla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alınacaktır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Bununla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birlikte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vakıflar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yüksek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öğretim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kurumu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okul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birliği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yerlerinin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1/3/2011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15/6/2012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arasında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söz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konusu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teşviklerden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4857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30</w:t>
      </w:r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5746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3.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5225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</w:t>
      </w:r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)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malullük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yaşlılık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ölüm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primlerinde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puanlık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</w:t>
      </w:r>
      <w:proofErr w:type="spellEnd"/>
      <w:r w:rsidR="00EB0510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(5510)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hesaplanmaksızın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mümkün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olduğundan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anılan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dönemler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için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işverenlerin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5510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17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ikinci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fıkrası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1/6/2018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ilgili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mevzuatlarında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gerek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li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şartları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sağlamaları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koşuluyla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bahse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desteklerden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dönük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yararlanılabilecektir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Ayrıca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vakıflar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yükseköğretim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kurumu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işyerlerin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5510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2.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6322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yapılan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düzenlemenin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yürürlüğe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girdiği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15/6/2012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süreler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çin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5510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2.</w:t>
      </w:r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maddesinde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belgeli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yat</w:t>
      </w:r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ırımlar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kapsamında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faydalanılan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="00EB6DDA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primi</w:t>
      </w:r>
      <w:proofErr w:type="spellEnd"/>
      <w:r w:rsidR="00EB6DDA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B6DDA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desteğinden</w:t>
      </w:r>
      <w:proofErr w:type="spellEnd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mümkün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olduğunda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5510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2.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maddesinin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yürürl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üğe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girdiği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18/8/2009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15/6/2012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süreye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yatırım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belgeleri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kapsamındaki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süreler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dikkate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alınarak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)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1/6/2018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bulunul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muş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olması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ilgili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mevzuatta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gerekli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şartları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sağlamaları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kaydıyla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süreler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bahse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desteğinden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dönük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yararlanmaları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mümkün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bulunmaktadır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Ancak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1/3/2011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15/6/2012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arasında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için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5510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2.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desteğinden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;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malullük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yaşlılık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ölüm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primlerinde</w:t>
      </w:r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puanlık</w:t>
      </w:r>
      <w:proofErr w:type="spellEnd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01482D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</w:t>
      </w:r>
      <w:proofErr w:type="spellEnd"/>
      <w:r w:rsidR="0001482D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(5510) </w:t>
      </w:r>
      <w:proofErr w:type="spellStart"/>
      <w:r w:rsidR="00EB6DDA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hesaplanmaksızın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yararlanabileceklerdir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222E24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Buna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karşın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vakıflar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yükseköğretim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kurumu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okul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birliği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</w:t>
      </w:r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lerinin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2018/Mart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öncesi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dönemlere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5510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81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birinci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fıkrasının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)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bendi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(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genel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sigortası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primlerinde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beş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puanlık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),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ikinci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fıkrasında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15/6/2012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sonrasındaki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sürelere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5510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nci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</w:t>
      </w:r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örülen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sigorta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primi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desteğinden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yararlanması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mümkün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bulunmamaktadır</w:t>
      </w:r>
      <w:proofErr w:type="spellEnd"/>
      <w:r w:rsidR="00222E24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222E24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Aynı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şekilde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4447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gram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50.maddesi</w:t>
      </w:r>
      <w:proofErr w:type="gram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9</w:t>
      </w:r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10,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15,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17,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19</w:t>
      </w:r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geçici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20.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maddelerinde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desteklerinden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yararlanmalarına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imkan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bulunmadığından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anılan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yukarıda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belirtilen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yasal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düzenlemelerde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indirimlerden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yönelik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1/6/2018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bulunmuş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olsalar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dahi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söz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konusu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talepleri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işleme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alınmayacaktır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 B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u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kapsamda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e-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Bildirge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V2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programları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üzerinden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“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Tahakkuk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Nedeni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D”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düzenlenen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iptal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karşılığı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</w:t>
      </w:r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asıl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nitelikteki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belgeler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ilgili</w:t>
      </w:r>
      <w:proofErr w:type="spellEnd"/>
      <w:r w:rsidR="006B1B48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SGM </w:t>
      </w: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C27BEF" w:rsidRDefault="00C27BEF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6B1B48" w:rsidRDefault="006B1B48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reddedilecek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taleplerin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alındığının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,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iadesi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mahsup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işlemlerinin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yapıldığının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anlaşılması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halinde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ise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yapılan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işlemler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alınacaktır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6B1B48">
      <w:pPr>
        <w:tabs>
          <w:tab w:val="left" w:pos="1700"/>
        </w:tabs>
        <w:ind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6B1B48" w:rsidRDefault="006B1B48" w:rsidP="00114C2C">
      <w:pPr>
        <w:pStyle w:val="ListParagraph"/>
        <w:numPr>
          <w:ilvl w:val="0"/>
          <w:numId w:val="14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2018/Nisan</w:t>
      </w:r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sonrasındaki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dönemler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için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yönelik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6B1B48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</w:t>
      </w:r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ndirimlerinden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yararlanılması</w:t>
      </w:r>
      <w:proofErr w:type="spellEnd"/>
      <w:r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C27BEF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Vakıflar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kurulan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yükseköğretim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kurumu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okul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aile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birliği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2018/Nisan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/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sonrasına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hem 5510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hem de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diğer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Kanunlarda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eceği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halde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yararlanılmayan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takip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altı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ay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içerisinde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bulunulması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kaydıyla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</w:t>
      </w:r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rim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indirimlerden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yönelik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yararlanabileceklerdir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114C2C" w:rsidRDefault="006B1B48" w:rsidP="00114C2C">
      <w:pPr>
        <w:pStyle w:val="ListParagraph"/>
        <w:numPr>
          <w:ilvl w:val="0"/>
          <w:numId w:val="13"/>
        </w:numPr>
        <w:tabs>
          <w:tab w:val="left" w:pos="1700"/>
        </w:tabs>
        <w:ind w:right="-428"/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</w:pPr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SGK’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nın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yurt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içinde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s</w:t>
      </w:r>
      <w:r w:rsidR="00E36B99"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atın</w:t>
      </w:r>
      <w:proofErr w:type="spellEnd"/>
      <w:r w:rsidR="00E36B99"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aldığı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özel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sektör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sağlık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sunucusu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</w:t>
      </w:r>
      <w:r w:rsidR="00E36B99"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şyerleri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tarafından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teşvik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indirimlerinden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yararlanılmasına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114C2C">
        <w:rPr>
          <w:rFonts w:asciiTheme="minorBidi" w:hAnsiTheme="minorBidi" w:cstheme="minorBidi"/>
          <w:b/>
          <w:bCs/>
          <w:color w:val="000000" w:themeColor="text1"/>
          <w:sz w:val="22"/>
          <w:szCs w:val="22"/>
          <w:shd w:val="clear" w:color="auto" w:fill="FFFFFF"/>
          <w:lang w:val="en-US"/>
        </w:rPr>
        <w:t>uygulama</w:t>
      </w:r>
      <w:proofErr w:type="spellEnd"/>
    </w:p>
    <w:p w:rsidR="00E36B99" w:rsidRPr="00E36B99" w:rsidRDefault="00E36B99" w:rsidP="006B1B48">
      <w:pPr>
        <w:tabs>
          <w:tab w:val="left" w:pos="1700"/>
        </w:tabs>
        <w:ind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5510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73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ünc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maddesi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kapsamında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SGK’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yurt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satın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aldığı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özel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sektör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sunucusu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2018/Nisan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/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dönemine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bildirimlerden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başlamak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; 5510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4447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4857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5746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5225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3294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2828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ilgili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mevzuatında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an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şartların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sağlanması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koşuluyla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yararlanabilmektedir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F858AE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Söz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konusu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işyerlerinin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yukarıda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prim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hükümlerin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yürürlüğe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girdiği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tarihle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2018/Mart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öncesi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dönemler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arasındaki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sürelere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ilgili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mevzuatına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uygun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yararlandıkları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indirimlerin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iptal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edilmesi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ise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söz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konusu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olmayacaktır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Ayrıca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2018/Mart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öncesi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aylara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olmak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1/6/2018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tarihine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kadar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bulunmuş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olmaları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koşuluyla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prim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lerin</w:t>
      </w:r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den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yönelik</w:t>
      </w:r>
      <w:proofErr w:type="spellEnd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yararlanma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talepleri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işleme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alınacaktır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F858AE" w:rsidRDefault="00F858AE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114C2C" w:rsidRDefault="00F858AE" w:rsidP="00114C2C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SGK’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nın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yurt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satın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aldığı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özel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sektör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sağlık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hizmet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sunucusu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işyerleri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de 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2018/Nisan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ayı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/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sonrasına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ilişkin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olarak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hem 5510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hem de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diğer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Kanunlarda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öngörülen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prim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eceği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halde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yararlanılmayan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dönemi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takip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eden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altı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ay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içerisinde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başvuruda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bulunulması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kaydıyla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p</w:t>
      </w:r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rim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teşviki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destek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ve</w:t>
      </w:r>
      <w:proofErr w:type="spellEnd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indirimlerden</w:t>
      </w:r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geriye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yönelik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yararlanabileceklerdir</w:t>
      </w:r>
      <w:proofErr w:type="spellEnd"/>
      <w:r w:rsidR="00114C2C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F858AE">
      <w:pPr>
        <w:tabs>
          <w:tab w:val="left" w:pos="1700"/>
        </w:tabs>
        <w:ind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E36B99" w:rsidRPr="00E36B99" w:rsidRDefault="00114C2C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Yukarıda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yer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alan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düzenlemeleri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içeren</w:t>
      </w:r>
      <w:proofErr w:type="spellEnd"/>
      <w:r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2</w:t>
      </w:r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019/15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sayılı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SGK </w:t>
      </w:r>
      <w:proofErr w:type="spellStart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Genelgesi</w:t>
      </w:r>
      <w:proofErr w:type="spellEnd"/>
      <w:r w:rsidR="00F858AE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0</w:t>
      </w:r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1/4/2018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tarihinden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geçerli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olmak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üzere</w:t>
      </w:r>
      <w:proofErr w:type="spellEnd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30/05/2019 </w:t>
      </w:r>
      <w:proofErr w:type="spellStart"/>
      <w:r w:rsidR="00E36B99" w:rsidRPr="00E36B9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ta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rihi</w:t>
      </w:r>
      <w:proofErr w:type="spellEnd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itibariyle</w:t>
      </w:r>
      <w:proofErr w:type="spellEnd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yürürlüğe</w:t>
      </w:r>
      <w:proofErr w:type="spellEnd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girmiştir</w:t>
      </w:r>
      <w:proofErr w:type="spellEnd"/>
      <w:r w:rsidR="00830039"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  <w:t>.</w:t>
      </w:r>
    </w:p>
    <w:p w:rsidR="00E36B99" w:rsidRPr="00E36B99" w:rsidRDefault="00E36B99" w:rsidP="00E36B99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</w:p>
    <w:p w:rsidR="00444271" w:rsidRPr="00114C2C" w:rsidRDefault="00CA4AEB" w:rsidP="00114C2C">
      <w:pPr>
        <w:tabs>
          <w:tab w:val="left" w:pos="1700"/>
        </w:tabs>
        <w:ind w:left="-360" w:right="-428"/>
        <w:rPr>
          <w:rFonts w:asciiTheme="minorBidi" w:hAnsiTheme="minorBidi" w:cstheme="minorBidi"/>
          <w:color w:val="000000" w:themeColor="text1"/>
          <w:sz w:val="22"/>
          <w:szCs w:val="22"/>
          <w:shd w:val="clear" w:color="auto" w:fill="FFFFFF"/>
          <w:lang w:val="en-US"/>
        </w:rPr>
      </w:pPr>
      <w:r>
        <w:rPr>
          <w:rFonts w:asciiTheme="minorBidi" w:hAnsiTheme="minorBidi" w:cstheme="minorBidi"/>
          <w:color w:val="000000" w:themeColor="text1"/>
          <w:sz w:val="22"/>
          <w:szCs w:val="22"/>
        </w:rPr>
        <w:t>SGK’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 </w:t>
      </w:r>
      <w:proofErr w:type="spellStart"/>
      <w:r w:rsidR="00830039">
        <w:rPr>
          <w:rFonts w:asciiTheme="minorBidi" w:hAnsiTheme="minorBidi" w:cstheme="minorBidi"/>
          <w:color w:val="000000" w:themeColor="text1"/>
          <w:sz w:val="22"/>
          <w:szCs w:val="22"/>
        </w:rPr>
        <w:t>nın</w:t>
      </w:r>
      <w:proofErr w:type="spellEnd"/>
      <w:r w:rsidR="00830039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 30/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>05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</w:rPr>
        <w:t>/2019 tarihli,</w:t>
      </w:r>
      <w:r w:rsidR="00444271" w:rsidRPr="006F6E21"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 </w:t>
      </w:r>
      <w:r w:rsidR="00830039">
        <w:rPr>
          <w:rFonts w:asciiTheme="minorBidi" w:hAnsiTheme="minorBidi" w:cstheme="minorBidi"/>
          <w:color w:val="000000" w:themeColor="text1"/>
          <w:sz w:val="22"/>
          <w:szCs w:val="22"/>
        </w:rPr>
        <w:t>2019/15</w:t>
      </w:r>
      <w:r>
        <w:rPr>
          <w:rFonts w:asciiTheme="minorBidi" w:hAnsiTheme="minorBidi" w:cstheme="minorBidi"/>
          <w:color w:val="000000" w:themeColor="text1"/>
          <w:sz w:val="22"/>
          <w:szCs w:val="22"/>
        </w:rPr>
        <w:t xml:space="preserve"> sayılı Genelges</w:t>
      </w:r>
      <w:r w:rsidR="00C27BEF">
        <w:rPr>
          <w:rFonts w:asciiTheme="minorBidi" w:hAnsiTheme="minorBidi" w:cstheme="minorBidi"/>
          <w:color w:val="000000" w:themeColor="text1"/>
          <w:sz w:val="22"/>
          <w:szCs w:val="22"/>
        </w:rPr>
        <w:t>i sirkülerimiz ekinde dikkatinize sunulmaktadır.</w:t>
      </w:r>
    </w:p>
    <w:p w:rsidR="00813081" w:rsidRPr="006F6E21" w:rsidRDefault="00813081" w:rsidP="0096269B">
      <w:pPr>
        <w:ind w:left="-360" w:right="-428"/>
        <w:rPr>
          <w:rFonts w:ascii="Arial" w:hAnsi="Arial"/>
          <w:color w:val="000000" w:themeColor="text1"/>
          <w:sz w:val="22"/>
          <w:szCs w:val="22"/>
        </w:rPr>
      </w:pPr>
    </w:p>
    <w:p w:rsidR="00EE4529" w:rsidRPr="006F6E21" w:rsidRDefault="00EE4529" w:rsidP="00114C2C">
      <w:pPr>
        <w:ind w:right="-428"/>
        <w:rPr>
          <w:rFonts w:ascii="Arial" w:hAnsi="Arial"/>
          <w:color w:val="000000" w:themeColor="text1"/>
          <w:sz w:val="22"/>
          <w:szCs w:val="22"/>
        </w:rPr>
      </w:pPr>
    </w:p>
    <w:p w:rsidR="00DA6C8E" w:rsidRPr="006F6E21" w:rsidRDefault="00DA6C8E" w:rsidP="00617F48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6F6E21">
        <w:rPr>
          <w:rFonts w:ascii="Arial" w:hAnsi="Arial" w:cs="Arial"/>
          <w:color w:val="000000" w:themeColor="text1"/>
          <w:sz w:val="22"/>
          <w:szCs w:val="22"/>
        </w:rPr>
        <w:t>Saygılarımızla.</w:t>
      </w:r>
    </w:p>
    <w:p w:rsidR="00DA6C8E" w:rsidRPr="006F6E21" w:rsidRDefault="00DA6C8E" w:rsidP="00617F48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6F6E21">
        <w:rPr>
          <w:rFonts w:ascii="Arial" w:hAnsi="Arial" w:cs="Arial"/>
          <w:color w:val="000000" w:themeColor="text1"/>
          <w:sz w:val="22"/>
          <w:szCs w:val="22"/>
        </w:rPr>
        <w:t>Kuzey YMM ve Bağımsız Denetim A.Ş.</w:t>
      </w:r>
    </w:p>
    <w:p w:rsidR="00C27BEF" w:rsidRDefault="00DA6C8E" w:rsidP="00C27BEF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  <w:r w:rsidRPr="006F6E21">
        <w:rPr>
          <w:rFonts w:ascii="Arial" w:hAnsi="Arial" w:cs="Arial"/>
          <w:color w:val="000000" w:themeColor="text1"/>
          <w:sz w:val="22"/>
          <w:szCs w:val="22"/>
        </w:rPr>
        <w:t>Erdal Çalıkoğlu</w:t>
      </w:r>
    </w:p>
    <w:p w:rsidR="00C27BEF" w:rsidRDefault="00C27BEF" w:rsidP="00C27BEF">
      <w:pPr>
        <w:ind w:left="-360" w:right="-470"/>
        <w:rPr>
          <w:rFonts w:ascii="Arial" w:hAnsi="Arial" w:cs="Arial"/>
          <w:color w:val="000000" w:themeColor="text1"/>
          <w:sz w:val="22"/>
          <w:szCs w:val="22"/>
        </w:rPr>
      </w:pPr>
    </w:p>
    <w:p w:rsidR="00C27BEF" w:rsidRDefault="00C27BEF" w:rsidP="00C27BEF">
      <w:pPr>
        <w:ind w:left="-360" w:right="-470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:rsidR="00263A9C" w:rsidRPr="00C27BEF" w:rsidRDefault="00D342B1" w:rsidP="00C27BEF">
      <w:pPr>
        <w:ind w:left="-360" w:right="-470"/>
        <w:rPr>
          <w:rFonts w:ascii="Arial" w:hAnsi="Arial" w:cs="Arial"/>
          <w:color w:val="000000" w:themeColor="text1"/>
          <w:sz w:val="20"/>
          <w:szCs w:val="20"/>
        </w:rPr>
      </w:pPr>
      <w:r w:rsidRPr="00C27BE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Yukarıda yer verilen açıklamalarımız, konuya ilişkin genel bilgiler içermektedir. EY ve/veya Kuzey YMM ve Bağımsız Denetim </w:t>
      </w:r>
      <w:proofErr w:type="spellStart"/>
      <w:r w:rsidRPr="00C27BEF">
        <w:rPr>
          <w:rFonts w:ascii="Arial" w:hAnsi="Arial" w:cs="Arial"/>
          <w:i/>
          <w:iCs/>
          <w:color w:val="000000" w:themeColor="text1"/>
          <w:sz w:val="20"/>
          <w:szCs w:val="20"/>
        </w:rPr>
        <w:t>A.Ş.’ye</w:t>
      </w:r>
      <w:proofErr w:type="spellEnd"/>
      <w:r w:rsidRPr="00C27BEF">
        <w:rPr>
          <w:rFonts w:ascii="Arial" w:hAnsi="Arial" w:cs="Arial"/>
          <w:i/>
          <w:iCs/>
          <w:color w:val="000000" w:themeColor="text1"/>
          <w:sz w:val="20"/>
          <w:szCs w:val="20"/>
        </w:rPr>
        <w:t>, işbu dokümanın içeriğinden kaynaklanan veya içeriğine ilişkin olarak ortaya çıkan sonuçlardan dolayı herhangi bir sorumluluk iddiasında bulunulamaz.</w:t>
      </w:r>
      <w:bookmarkStart w:id="0" w:name="_GoBack"/>
      <w:bookmarkEnd w:id="0"/>
    </w:p>
    <w:sectPr w:rsidR="00263A9C" w:rsidRPr="00C27BEF" w:rsidSect="00D342B1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1418" w:bottom="1079" w:left="1418" w:header="227" w:footer="709" w:gutter="0"/>
      <w:pgBorders>
        <w:top w:val="single" w:sz="4" w:space="1" w:color="auto"/>
        <w:left w:val="single" w:sz="4" w:space="24" w:color="auto"/>
        <w:bottom w:val="single" w:sz="4" w:space="1" w:color="auto"/>
        <w:right w:val="single" w:sz="4" w:space="31" w:color="auto"/>
      </w:pgBorders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78F" w:rsidRDefault="0050278F">
      <w:r>
        <w:separator/>
      </w:r>
    </w:p>
  </w:endnote>
  <w:endnote w:type="continuationSeparator" w:id="0">
    <w:p w:rsidR="0050278F" w:rsidRDefault="0050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49" w:rsidRDefault="00F81649" w:rsidP="00B779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49" w:rsidRDefault="00F81649" w:rsidP="00A740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49" w:rsidRDefault="00F81649" w:rsidP="00A740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78F" w:rsidRDefault="0050278F">
      <w:r>
        <w:separator/>
      </w:r>
    </w:p>
  </w:footnote>
  <w:footnote w:type="continuationSeparator" w:id="0">
    <w:p w:rsidR="0050278F" w:rsidRDefault="0050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49" w:rsidRDefault="00F81649" w:rsidP="00D12F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49" w:rsidRDefault="00F81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649" w:rsidRPr="00EC76C6" w:rsidRDefault="00F81649" w:rsidP="00D12F05">
    <w:pPr>
      <w:pStyle w:val="Header"/>
      <w:framePr w:wrap="around" w:vAnchor="text" w:hAnchor="page" w:x="5739" w:y="659"/>
      <w:rPr>
        <w:rStyle w:val="PageNumber"/>
        <w:rFonts w:ascii="Arial" w:hAnsi="Arial" w:cs="Arial"/>
        <w:sz w:val="22"/>
        <w:szCs w:val="22"/>
      </w:rPr>
    </w:pPr>
    <w:r w:rsidRPr="00EC76C6">
      <w:rPr>
        <w:rStyle w:val="PageNumber"/>
        <w:rFonts w:ascii="Arial" w:hAnsi="Arial" w:cs="Arial"/>
        <w:sz w:val="22"/>
        <w:szCs w:val="22"/>
      </w:rPr>
      <w:fldChar w:fldCharType="begin"/>
    </w:r>
    <w:r w:rsidRPr="00EC76C6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C76C6">
      <w:rPr>
        <w:rStyle w:val="PageNumber"/>
        <w:rFonts w:ascii="Arial" w:hAnsi="Arial" w:cs="Arial"/>
        <w:sz w:val="22"/>
        <w:szCs w:val="22"/>
      </w:rPr>
      <w:fldChar w:fldCharType="separate"/>
    </w:r>
    <w:r w:rsidR="00C27BEF">
      <w:rPr>
        <w:rStyle w:val="PageNumber"/>
        <w:rFonts w:ascii="Arial" w:hAnsi="Arial" w:cs="Arial"/>
        <w:noProof/>
        <w:sz w:val="22"/>
        <w:szCs w:val="22"/>
      </w:rPr>
      <w:t>- 3 -</w:t>
    </w:r>
    <w:r w:rsidRPr="00EC76C6">
      <w:rPr>
        <w:rStyle w:val="PageNumber"/>
        <w:rFonts w:ascii="Arial" w:hAnsi="Arial" w:cs="Arial"/>
        <w:sz w:val="22"/>
        <w:szCs w:val="22"/>
      </w:rPr>
      <w:fldChar w:fldCharType="end"/>
    </w:r>
  </w:p>
  <w:p w:rsidR="00F81649" w:rsidRDefault="00F81649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F7DB7A6" wp14:editId="14FB45C8">
          <wp:simplePos x="0" y="0"/>
          <wp:positionH relativeFrom="column">
            <wp:posOffset>-290831</wp:posOffset>
          </wp:positionH>
          <wp:positionV relativeFrom="paragraph">
            <wp:posOffset>665480</wp:posOffset>
          </wp:positionV>
          <wp:extent cx="6448425" cy="1019055"/>
          <wp:effectExtent l="19050" t="0" r="9525" b="0"/>
          <wp:wrapNone/>
          <wp:docPr id="6" name="Picture 6" descr="Turkey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rkey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7335" cy="10220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2E16"/>
    <w:multiLevelType w:val="hybridMultilevel"/>
    <w:tmpl w:val="46B27C4E"/>
    <w:lvl w:ilvl="0" w:tplc="C2D4B16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A0064C6"/>
    <w:multiLevelType w:val="hybridMultilevel"/>
    <w:tmpl w:val="BC382572"/>
    <w:lvl w:ilvl="0" w:tplc="041F001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19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F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76518"/>
    <w:multiLevelType w:val="hybridMultilevel"/>
    <w:tmpl w:val="524A5816"/>
    <w:lvl w:ilvl="0" w:tplc="6B5ABD3E">
      <w:start w:val="6764"/>
      <w:numFmt w:val="bullet"/>
      <w:lvlText w:val="-"/>
      <w:lvlJc w:val="left"/>
      <w:pPr>
        <w:ind w:left="-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A66DCA"/>
    <w:multiLevelType w:val="hybridMultilevel"/>
    <w:tmpl w:val="535C6936"/>
    <w:lvl w:ilvl="0" w:tplc="041F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A8913B3"/>
    <w:multiLevelType w:val="hybridMultilevel"/>
    <w:tmpl w:val="9F8A0CE8"/>
    <w:lvl w:ilvl="0" w:tplc="6B5ABD3E">
      <w:start w:val="6764"/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DDA4363"/>
    <w:multiLevelType w:val="hybridMultilevel"/>
    <w:tmpl w:val="D95EABAC"/>
    <w:lvl w:ilvl="0" w:tplc="041F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706DAB"/>
    <w:multiLevelType w:val="hybridMultilevel"/>
    <w:tmpl w:val="2E607A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20C06"/>
    <w:multiLevelType w:val="hybridMultilevel"/>
    <w:tmpl w:val="C474499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B271C"/>
    <w:multiLevelType w:val="multilevel"/>
    <w:tmpl w:val="60D444D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800"/>
      </w:pPr>
      <w:rPr>
        <w:rFonts w:hint="default"/>
      </w:rPr>
    </w:lvl>
  </w:abstractNum>
  <w:abstractNum w:abstractNumId="9" w15:restartNumberingAfterBreak="0">
    <w:nsid w:val="368250E8"/>
    <w:multiLevelType w:val="singleLevel"/>
    <w:tmpl w:val="C8B0B8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E0C0A5B"/>
    <w:multiLevelType w:val="hybridMultilevel"/>
    <w:tmpl w:val="48F2E8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956FE"/>
    <w:multiLevelType w:val="hybridMultilevel"/>
    <w:tmpl w:val="4C06E43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16593"/>
    <w:multiLevelType w:val="hybridMultilevel"/>
    <w:tmpl w:val="02D6297C"/>
    <w:lvl w:ilvl="0" w:tplc="6B5ABD3E">
      <w:start w:val="6764"/>
      <w:numFmt w:val="bullet"/>
      <w:lvlText w:val="-"/>
      <w:lvlJc w:val="left"/>
      <w:pPr>
        <w:ind w:left="-36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285C91"/>
    <w:multiLevelType w:val="hybridMultilevel"/>
    <w:tmpl w:val="A016E124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E60C0E3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A807BC"/>
    <w:multiLevelType w:val="hybridMultilevel"/>
    <w:tmpl w:val="E39EA538"/>
    <w:lvl w:ilvl="0" w:tplc="D1AAE51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25F88"/>
    <w:multiLevelType w:val="hybridMultilevel"/>
    <w:tmpl w:val="7706AC46"/>
    <w:lvl w:ilvl="0" w:tplc="6B5ABD3E">
      <w:start w:val="6764"/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14"/>
  </w:num>
  <w:num w:numId="9">
    <w:abstractNumId w:val="13"/>
  </w:num>
  <w:num w:numId="10">
    <w:abstractNumId w:val="4"/>
  </w:num>
  <w:num w:numId="11">
    <w:abstractNumId w:val="2"/>
  </w:num>
  <w:num w:numId="12">
    <w:abstractNumId w:val="12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FA"/>
    <w:rsid w:val="00000CD5"/>
    <w:rsid w:val="00002A9A"/>
    <w:rsid w:val="00003CD2"/>
    <w:rsid w:val="00004D0A"/>
    <w:rsid w:val="00004F4D"/>
    <w:rsid w:val="000055B9"/>
    <w:rsid w:val="000061F5"/>
    <w:rsid w:val="00011F52"/>
    <w:rsid w:val="0001482D"/>
    <w:rsid w:val="00016180"/>
    <w:rsid w:val="00026CD5"/>
    <w:rsid w:val="00026E11"/>
    <w:rsid w:val="00032232"/>
    <w:rsid w:val="00044DB4"/>
    <w:rsid w:val="000515D3"/>
    <w:rsid w:val="00051EF1"/>
    <w:rsid w:val="000573E8"/>
    <w:rsid w:val="00060913"/>
    <w:rsid w:val="00061F1B"/>
    <w:rsid w:val="000622AD"/>
    <w:rsid w:val="00070E74"/>
    <w:rsid w:val="0007122A"/>
    <w:rsid w:val="00073A82"/>
    <w:rsid w:val="00077585"/>
    <w:rsid w:val="000929ED"/>
    <w:rsid w:val="000A3005"/>
    <w:rsid w:val="000A70B3"/>
    <w:rsid w:val="000B1B2D"/>
    <w:rsid w:val="000B2400"/>
    <w:rsid w:val="000B7D7A"/>
    <w:rsid w:val="000C2321"/>
    <w:rsid w:val="000C4129"/>
    <w:rsid w:val="000C46E9"/>
    <w:rsid w:val="000D0AC5"/>
    <w:rsid w:val="000D7B26"/>
    <w:rsid w:val="000F1FBB"/>
    <w:rsid w:val="000F3B43"/>
    <w:rsid w:val="000F7199"/>
    <w:rsid w:val="000F7675"/>
    <w:rsid w:val="00102C8E"/>
    <w:rsid w:val="00106868"/>
    <w:rsid w:val="00106A1B"/>
    <w:rsid w:val="00114C2C"/>
    <w:rsid w:val="001176FC"/>
    <w:rsid w:val="00117C1F"/>
    <w:rsid w:val="0012379E"/>
    <w:rsid w:val="0013557E"/>
    <w:rsid w:val="00135B01"/>
    <w:rsid w:val="00136615"/>
    <w:rsid w:val="00142DAE"/>
    <w:rsid w:val="001439E7"/>
    <w:rsid w:val="0014464F"/>
    <w:rsid w:val="00150910"/>
    <w:rsid w:val="0015237E"/>
    <w:rsid w:val="001531AA"/>
    <w:rsid w:val="001534DE"/>
    <w:rsid w:val="00153E1B"/>
    <w:rsid w:val="00153E48"/>
    <w:rsid w:val="00154E91"/>
    <w:rsid w:val="00155797"/>
    <w:rsid w:val="00155990"/>
    <w:rsid w:val="001619D7"/>
    <w:rsid w:val="00162098"/>
    <w:rsid w:val="00166E63"/>
    <w:rsid w:val="00170B1F"/>
    <w:rsid w:val="001718FA"/>
    <w:rsid w:val="00191080"/>
    <w:rsid w:val="001B6FEB"/>
    <w:rsid w:val="001C2E9A"/>
    <w:rsid w:val="001D2F1D"/>
    <w:rsid w:val="001D31A0"/>
    <w:rsid w:val="001D3544"/>
    <w:rsid w:val="001D4406"/>
    <w:rsid w:val="001D6CFC"/>
    <w:rsid w:val="001E56D6"/>
    <w:rsid w:val="001F6E09"/>
    <w:rsid w:val="00201448"/>
    <w:rsid w:val="00216444"/>
    <w:rsid w:val="00216F55"/>
    <w:rsid w:val="0021722F"/>
    <w:rsid w:val="00220E98"/>
    <w:rsid w:val="00221D09"/>
    <w:rsid w:val="00222E24"/>
    <w:rsid w:val="00230141"/>
    <w:rsid w:val="002357D6"/>
    <w:rsid w:val="002367A0"/>
    <w:rsid w:val="00236996"/>
    <w:rsid w:val="002378AD"/>
    <w:rsid w:val="00237B90"/>
    <w:rsid w:val="0024013E"/>
    <w:rsid w:val="00252BFD"/>
    <w:rsid w:val="0025338E"/>
    <w:rsid w:val="00263A9C"/>
    <w:rsid w:val="002653F0"/>
    <w:rsid w:val="00270B60"/>
    <w:rsid w:val="002777DC"/>
    <w:rsid w:val="002840B9"/>
    <w:rsid w:val="00284938"/>
    <w:rsid w:val="002909D6"/>
    <w:rsid w:val="002B16BE"/>
    <w:rsid w:val="002B7189"/>
    <w:rsid w:val="002C0FA6"/>
    <w:rsid w:val="002C6F34"/>
    <w:rsid w:val="002C7729"/>
    <w:rsid w:val="002D69E7"/>
    <w:rsid w:val="002D6AE5"/>
    <w:rsid w:val="002E26B4"/>
    <w:rsid w:val="003007DD"/>
    <w:rsid w:val="00300B6D"/>
    <w:rsid w:val="003034C5"/>
    <w:rsid w:val="00307117"/>
    <w:rsid w:val="0030763D"/>
    <w:rsid w:val="00310C7A"/>
    <w:rsid w:val="003120ED"/>
    <w:rsid w:val="00317858"/>
    <w:rsid w:val="003224AE"/>
    <w:rsid w:val="003258C9"/>
    <w:rsid w:val="003333AB"/>
    <w:rsid w:val="00360222"/>
    <w:rsid w:val="00376154"/>
    <w:rsid w:val="00377EF0"/>
    <w:rsid w:val="00384682"/>
    <w:rsid w:val="00387A77"/>
    <w:rsid w:val="00392646"/>
    <w:rsid w:val="003953D6"/>
    <w:rsid w:val="00396CF2"/>
    <w:rsid w:val="003A4509"/>
    <w:rsid w:val="003A46DE"/>
    <w:rsid w:val="003A7DDE"/>
    <w:rsid w:val="003C3934"/>
    <w:rsid w:val="003C7135"/>
    <w:rsid w:val="003D23D7"/>
    <w:rsid w:val="003D3453"/>
    <w:rsid w:val="003D3DC8"/>
    <w:rsid w:val="003D4212"/>
    <w:rsid w:val="003D6970"/>
    <w:rsid w:val="003F407C"/>
    <w:rsid w:val="003F5F20"/>
    <w:rsid w:val="004025D3"/>
    <w:rsid w:val="0041160A"/>
    <w:rsid w:val="00415C46"/>
    <w:rsid w:val="00423F97"/>
    <w:rsid w:val="00424E2C"/>
    <w:rsid w:val="00432BD1"/>
    <w:rsid w:val="00433DA0"/>
    <w:rsid w:val="0043583A"/>
    <w:rsid w:val="00435DF1"/>
    <w:rsid w:val="00440D20"/>
    <w:rsid w:val="00444271"/>
    <w:rsid w:val="0044444B"/>
    <w:rsid w:val="004509E4"/>
    <w:rsid w:val="004525EB"/>
    <w:rsid w:val="00465C78"/>
    <w:rsid w:val="00472BD8"/>
    <w:rsid w:val="00490FFC"/>
    <w:rsid w:val="00492BF2"/>
    <w:rsid w:val="00494843"/>
    <w:rsid w:val="00497531"/>
    <w:rsid w:val="00497BB5"/>
    <w:rsid w:val="004A787D"/>
    <w:rsid w:val="004B5CDC"/>
    <w:rsid w:val="004B62A3"/>
    <w:rsid w:val="004C30D6"/>
    <w:rsid w:val="004C7F86"/>
    <w:rsid w:val="004D4B7C"/>
    <w:rsid w:val="004D6D01"/>
    <w:rsid w:val="004E4A3D"/>
    <w:rsid w:val="004E7E73"/>
    <w:rsid w:val="004F1076"/>
    <w:rsid w:val="004F4B42"/>
    <w:rsid w:val="004F7F98"/>
    <w:rsid w:val="0050056E"/>
    <w:rsid w:val="0050278F"/>
    <w:rsid w:val="00505E36"/>
    <w:rsid w:val="0051756E"/>
    <w:rsid w:val="00517AF4"/>
    <w:rsid w:val="00534920"/>
    <w:rsid w:val="00557335"/>
    <w:rsid w:val="005603C1"/>
    <w:rsid w:val="0056240C"/>
    <w:rsid w:val="0057244C"/>
    <w:rsid w:val="005837D2"/>
    <w:rsid w:val="00587C73"/>
    <w:rsid w:val="00592252"/>
    <w:rsid w:val="0059240C"/>
    <w:rsid w:val="00593307"/>
    <w:rsid w:val="00596A56"/>
    <w:rsid w:val="005971E6"/>
    <w:rsid w:val="005A7CC2"/>
    <w:rsid w:val="005B436C"/>
    <w:rsid w:val="005C2339"/>
    <w:rsid w:val="005C6F07"/>
    <w:rsid w:val="005D1686"/>
    <w:rsid w:val="005D1B0C"/>
    <w:rsid w:val="005D378F"/>
    <w:rsid w:val="005D3F6E"/>
    <w:rsid w:val="005D56D8"/>
    <w:rsid w:val="005F2784"/>
    <w:rsid w:val="005F59BF"/>
    <w:rsid w:val="00603E2F"/>
    <w:rsid w:val="00607AE9"/>
    <w:rsid w:val="00614BCD"/>
    <w:rsid w:val="00615D66"/>
    <w:rsid w:val="00616BD0"/>
    <w:rsid w:val="00616BFD"/>
    <w:rsid w:val="00617F48"/>
    <w:rsid w:val="00634C5D"/>
    <w:rsid w:val="006354ED"/>
    <w:rsid w:val="006510D6"/>
    <w:rsid w:val="00662B0C"/>
    <w:rsid w:val="006641B5"/>
    <w:rsid w:val="006705B0"/>
    <w:rsid w:val="006708AA"/>
    <w:rsid w:val="00671845"/>
    <w:rsid w:val="006803F9"/>
    <w:rsid w:val="00683138"/>
    <w:rsid w:val="00685B71"/>
    <w:rsid w:val="006872B1"/>
    <w:rsid w:val="0069289A"/>
    <w:rsid w:val="006A123E"/>
    <w:rsid w:val="006A798D"/>
    <w:rsid w:val="006B1B48"/>
    <w:rsid w:val="006B258A"/>
    <w:rsid w:val="006B283D"/>
    <w:rsid w:val="006B3FA4"/>
    <w:rsid w:val="006C0010"/>
    <w:rsid w:val="006D0EE1"/>
    <w:rsid w:val="006D1E61"/>
    <w:rsid w:val="006D3334"/>
    <w:rsid w:val="006D581A"/>
    <w:rsid w:val="006E013B"/>
    <w:rsid w:val="006E19F3"/>
    <w:rsid w:val="006E2FCE"/>
    <w:rsid w:val="006E391C"/>
    <w:rsid w:val="006E40EC"/>
    <w:rsid w:val="006E547D"/>
    <w:rsid w:val="006F0669"/>
    <w:rsid w:val="006F5590"/>
    <w:rsid w:val="006F59EA"/>
    <w:rsid w:val="006F6E21"/>
    <w:rsid w:val="00702B70"/>
    <w:rsid w:val="00703635"/>
    <w:rsid w:val="00720A16"/>
    <w:rsid w:val="007217AC"/>
    <w:rsid w:val="00724B64"/>
    <w:rsid w:val="00726D28"/>
    <w:rsid w:val="00733FB2"/>
    <w:rsid w:val="00734298"/>
    <w:rsid w:val="00734FC7"/>
    <w:rsid w:val="0073657D"/>
    <w:rsid w:val="00736A67"/>
    <w:rsid w:val="00745550"/>
    <w:rsid w:val="00761521"/>
    <w:rsid w:val="00767062"/>
    <w:rsid w:val="007855E5"/>
    <w:rsid w:val="00787DDD"/>
    <w:rsid w:val="007964EF"/>
    <w:rsid w:val="007A0C82"/>
    <w:rsid w:val="007A125C"/>
    <w:rsid w:val="007A1BDC"/>
    <w:rsid w:val="007B250C"/>
    <w:rsid w:val="007B3EAB"/>
    <w:rsid w:val="007C235D"/>
    <w:rsid w:val="007D7536"/>
    <w:rsid w:val="007E19C7"/>
    <w:rsid w:val="007E4896"/>
    <w:rsid w:val="007E6E00"/>
    <w:rsid w:val="00801404"/>
    <w:rsid w:val="00803115"/>
    <w:rsid w:val="00813081"/>
    <w:rsid w:val="00813657"/>
    <w:rsid w:val="00814412"/>
    <w:rsid w:val="00817F7D"/>
    <w:rsid w:val="00823F8A"/>
    <w:rsid w:val="00824ADF"/>
    <w:rsid w:val="0082616E"/>
    <w:rsid w:val="00830039"/>
    <w:rsid w:val="0083095C"/>
    <w:rsid w:val="00841987"/>
    <w:rsid w:val="008450BA"/>
    <w:rsid w:val="00847D07"/>
    <w:rsid w:val="00873474"/>
    <w:rsid w:val="008842AF"/>
    <w:rsid w:val="00894AB6"/>
    <w:rsid w:val="008A1783"/>
    <w:rsid w:val="008B693A"/>
    <w:rsid w:val="008C2A8A"/>
    <w:rsid w:val="008E0C1C"/>
    <w:rsid w:val="008E0F37"/>
    <w:rsid w:val="008E42B6"/>
    <w:rsid w:val="008F188E"/>
    <w:rsid w:val="008F4D33"/>
    <w:rsid w:val="008F5FF2"/>
    <w:rsid w:val="009014E6"/>
    <w:rsid w:val="009026FD"/>
    <w:rsid w:val="00905CE0"/>
    <w:rsid w:val="0090745D"/>
    <w:rsid w:val="00913617"/>
    <w:rsid w:val="0091507E"/>
    <w:rsid w:val="009241A5"/>
    <w:rsid w:val="00926769"/>
    <w:rsid w:val="00937AE2"/>
    <w:rsid w:val="00943F43"/>
    <w:rsid w:val="00944EF2"/>
    <w:rsid w:val="009507B7"/>
    <w:rsid w:val="009612B4"/>
    <w:rsid w:val="009619B4"/>
    <w:rsid w:val="0096269B"/>
    <w:rsid w:val="0096269E"/>
    <w:rsid w:val="00963523"/>
    <w:rsid w:val="00980961"/>
    <w:rsid w:val="009925DA"/>
    <w:rsid w:val="009945D4"/>
    <w:rsid w:val="009A3770"/>
    <w:rsid w:val="009B1442"/>
    <w:rsid w:val="009B3AE3"/>
    <w:rsid w:val="009B7968"/>
    <w:rsid w:val="009C67D3"/>
    <w:rsid w:val="009D188F"/>
    <w:rsid w:val="009D4417"/>
    <w:rsid w:val="009E2F0E"/>
    <w:rsid w:val="009E7A72"/>
    <w:rsid w:val="009F2A5C"/>
    <w:rsid w:val="009F3ED1"/>
    <w:rsid w:val="00A02422"/>
    <w:rsid w:val="00A02F9B"/>
    <w:rsid w:val="00A12B8C"/>
    <w:rsid w:val="00A16FE4"/>
    <w:rsid w:val="00A1735A"/>
    <w:rsid w:val="00A235AE"/>
    <w:rsid w:val="00A31D07"/>
    <w:rsid w:val="00A32A3C"/>
    <w:rsid w:val="00A33F23"/>
    <w:rsid w:val="00A51CFE"/>
    <w:rsid w:val="00A5314C"/>
    <w:rsid w:val="00A64A78"/>
    <w:rsid w:val="00A64C18"/>
    <w:rsid w:val="00A7118C"/>
    <w:rsid w:val="00A740AC"/>
    <w:rsid w:val="00A74536"/>
    <w:rsid w:val="00A75AEF"/>
    <w:rsid w:val="00A81AD4"/>
    <w:rsid w:val="00A823E3"/>
    <w:rsid w:val="00A8379F"/>
    <w:rsid w:val="00A90646"/>
    <w:rsid w:val="00A92441"/>
    <w:rsid w:val="00A9624B"/>
    <w:rsid w:val="00A966E2"/>
    <w:rsid w:val="00A975E7"/>
    <w:rsid w:val="00A97FDD"/>
    <w:rsid w:val="00AA0A06"/>
    <w:rsid w:val="00AA11ED"/>
    <w:rsid w:val="00AA2BB1"/>
    <w:rsid w:val="00AC3544"/>
    <w:rsid w:val="00AC7757"/>
    <w:rsid w:val="00AD0139"/>
    <w:rsid w:val="00AD09F4"/>
    <w:rsid w:val="00AD29F6"/>
    <w:rsid w:val="00AD53A5"/>
    <w:rsid w:val="00AF0D4D"/>
    <w:rsid w:val="00AF349D"/>
    <w:rsid w:val="00AF72FA"/>
    <w:rsid w:val="00B017D6"/>
    <w:rsid w:val="00B06D5B"/>
    <w:rsid w:val="00B13B7B"/>
    <w:rsid w:val="00B13EFA"/>
    <w:rsid w:val="00B147AF"/>
    <w:rsid w:val="00B17C3C"/>
    <w:rsid w:val="00B2379D"/>
    <w:rsid w:val="00B24AFE"/>
    <w:rsid w:val="00B4047B"/>
    <w:rsid w:val="00B42766"/>
    <w:rsid w:val="00B44F1C"/>
    <w:rsid w:val="00B45EDF"/>
    <w:rsid w:val="00B46295"/>
    <w:rsid w:val="00B51AF2"/>
    <w:rsid w:val="00B779CD"/>
    <w:rsid w:val="00B814CD"/>
    <w:rsid w:val="00B87435"/>
    <w:rsid w:val="00B926C2"/>
    <w:rsid w:val="00B935C6"/>
    <w:rsid w:val="00B9493E"/>
    <w:rsid w:val="00B97450"/>
    <w:rsid w:val="00BA2BAE"/>
    <w:rsid w:val="00BA5B92"/>
    <w:rsid w:val="00BB0140"/>
    <w:rsid w:val="00BB39DC"/>
    <w:rsid w:val="00BD09FA"/>
    <w:rsid w:val="00BD110E"/>
    <w:rsid w:val="00BD2A8C"/>
    <w:rsid w:val="00BD4D44"/>
    <w:rsid w:val="00BE0D86"/>
    <w:rsid w:val="00BE2C4A"/>
    <w:rsid w:val="00BE31BA"/>
    <w:rsid w:val="00BE5F9A"/>
    <w:rsid w:val="00BF3848"/>
    <w:rsid w:val="00BF43AF"/>
    <w:rsid w:val="00C051B5"/>
    <w:rsid w:val="00C06343"/>
    <w:rsid w:val="00C1162B"/>
    <w:rsid w:val="00C1779F"/>
    <w:rsid w:val="00C17F37"/>
    <w:rsid w:val="00C2242E"/>
    <w:rsid w:val="00C23E1C"/>
    <w:rsid w:val="00C25088"/>
    <w:rsid w:val="00C25B13"/>
    <w:rsid w:val="00C2667E"/>
    <w:rsid w:val="00C27BEF"/>
    <w:rsid w:val="00C27CC5"/>
    <w:rsid w:val="00C360F5"/>
    <w:rsid w:val="00C41790"/>
    <w:rsid w:val="00C42F0C"/>
    <w:rsid w:val="00C44D21"/>
    <w:rsid w:val="00C459AE"/>
    <w:rsid w:val="00C56351"/>
    <w:rsid w:val="00C574B4"/>
    <w:rsid w:val="00C64E95"/>
    <w:rsid w:val="00C6589A"/>
    <w:rsid w:val="00C66F91"/>
    <w:rsid w:val="00C92D24"/>
    <w:rsid w:val="00CA076E"/>
    <w:rsid w:val="00CA34D2"/>
    <w:rsid w:val="00CA4AEB"/>
    <w:rsid w:val="00CB155F"/>
    <w:rsid w:val="00CB1DD3"/>
    <w:rsid w:val="00CB4413"/>
    <w:rsid w:val="00CB6A56"/>
    <w:rsid w:val="00CB7AF6"/>
    <w:rsid w:val="00CF29C9"/>
    <w:rsid w:val="00D06A25"/>
    <w:rsid w:val="00D1031B"/>
    <w:rsid w:val="00D12F05"/>
    <w:rsid w:val="00D22CDF"/>
    <w:rsid w:val="00D26598"/>
    <w:rsid w:val="00D26B6B"/>
    <w:rsid w:val="00D32286"/>
    <w:rsid w:val="00D342B1"/>
    <w:rsid w:val="00D37DB8"/>
    <w:rsid w:val="00D405F6"/>
    <w:rsid w:val="00D432F4"/>
    <w:rsid w:val="00D4582D"/>
    <w:rsid w:val="00D4670E"/>
    <w:rsid w:val="00D54A09"/>
    <w:rsid w:val="00D62758"/>
    <w:rsid w:val="00D76498"/>
    <w:rsid w:val="00D77DBF"/>
    <w:rsid w:val="00D817C7"/>
    <w:rsid w:val="00D86D70"/>
    <w:rsid w:val="00D915D9"/>
    <w:rsid w:val="00D97E88"/>
    <w:rsid w:val="00DA033C"/>
    <w:rsid w:val="00DA2E4E"/>
    <w:rsid w:val="00DA52AB"/>
    <w:rsid w:val="00DA6614"/>
    <w:rsid w:val="00DA6C8E"/>
    <w:rsid w:val="00DB0AEF"/>
    <w:rsid w:val="00DB29DE"/>
    <w:rsid w:val="00DC014D"/>
    <w:rsid w:val="00DC6646"/>
    <w:rsid w:val="00DE3BE5"/>
    <w:rsid w:val="00DE4528"/>
    <w:rsid w:val="00DE4E35"/>
    <w:rsid w:val="00DE50C5"/>
    <w:rsid w:val="00DE6FB4"/>
    <w:rsid w:val="00DF5C7A"/>
    <w:rsid w:val="00DF6C92"/>
    <w:rsid w:val="00E1001A"/>
    <w:rsid w:val="00E13C65"/>
    <w:rsid w:val="00E1565D"/>
    <w:rsid w:val="00E22DA5"/>
    <w:rsid w:val="00E2795F"/>
    <w:rsid w:val="00E353EB"/>
    <w:rsid w:val="00E36B99"/>
    <w:rsid w:val="00E611D1"/>
    <w:rsid w:val="00E62818"/>
    <w:rsid w:val="00E66A02"/>
    <w:rsid w:val="00E75EE0"/>
    <w:rsid w:val="00E765F0"/>
    <w:rsid w:val="00E82450"/>
    <w:rsid w:val="00E86A25"/>
    <w:rsid w:val="00E92FA0"/>
    <w:rsid w:val="00E949ED"/>
    <w:rsid w:val="00E9507B"/>
    <w:rsid w:val="00EA3E5E"/>
    <w:rsid w:val="00EA4F3A"/>
    <w:rsid w:val="00EB0510"/>
    <w:rsid w:val="00EB1A10"/>
    <w:rsid w:val="00EB6DDA"/>
    <w:rsid w:val="00EB798D"/>
    <w:rsid w:val="00EC198C"/>
    <w:rsid w:val="00EC37D0"/>
    <w:rsid w:val="00EC4470"/>
    <w:rsid w:val="00EC76C6"/>
    <w:rsid w:val="00EC7E1A"/>
    <w:rsid w:val="00ED1376"/>
    <w:rsid w:val="00ED5692"/>
    <w:rsid w:val="00ED638E"/>
    <w:rsid w:val="00ED72C8"/>
    <w:rsid w:val="00EE05D0"/>
    <w:rsid w:val="00EE4529"/>
    <w:rsid w:val="00EE49AF"/>
    <w:rsid w:val="00EE7655"/>
    <w:rsid w:val="00EF018B"/>
    <w:rsid w:val="00EF40AC"/>
    <w:rsid w:val="00F00CBC"/>
    <w:rsid w:val="00F06E48"/>
    <w:rsid w:val="00F100CD"/>
    <w:rsid w:val="00F119A9"/>
    <w:rsid w:val="00F27512"/>
    <w:rsid w:val="00F32E26"/>
    <w:rsid w:val="00F338EF"/>
    <w:rsid w:val="00F452C9"/>
    <w:rsid w:val="00F568D0"/>
    <w:rsid w:val="00F629A2"/>
    <w:rsid w:val="00F66AC4"/>
    <w:rsid w:val="00F66E40"/>
    <w:rsid w:val="00F76496"/>
    <w:rsid w:val="00F8035D"/>
    <w:rsid w:val="00F81649"/>
    <w:rsid w:val="00F84105"/>
    <w:rsid w:val="00F858AE"/>
    <w:rsid w:val="00F86A93"/>
    <w:rsid w:val="00F86DE8"/>
    <w:rsid w:val="00F91A32"/>
    <w:rsid w:val="00F939F1"/>
    <w:rsid w:val="00F94A38"/>
    <w:rsid w:val="00FA0B52"/>
    <w:rsid w:val="00FA1F3B"/>
    <w:rsid w:val="00FB2544"/>
    <w:rsid w:val="00FB3C7A"/>
    <w:rsid w:val="00FB76D3"/>
    <w:rsid w:val="00FC526C"/>
    <w:rsid w:val="00FD2D53"/>
    <w:rsid w:val="00FD34F3"/>
    <w:rsid w:val="00FE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B6BFF38"/>
  <w15:docId w15:val="{1CFEC080-CEEB-435F-BF22-D1C7FE2E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7E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24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F0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C6F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7531"/>
  </w:style>
  <w:style w:type="character" w:styleId="Hyperlink">
    <w:name w:val="Hyperlink"/>
    <w:basedOn w:val="DefaultParagraphFont"/>
    <w:uiPriority w:val="99"/>
    <w:rsid w:val="001E56D6"/>
    <w:rPr>
      <w:color w:val="0000FF"/>
      <w:u w:val="single"/>
    </w:rPr>
  </w:style>
  <w:style w:type="table" w:styleId="TableGrid">
    <w:name w:val="Table Grid"/>
    <w:basedOn w:val="TableNormal"/>
    <w:rsid w:val="001E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A123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BodyTextIndent">
    <w:name w:val="Body Text Indent"/>
    <w:basedOn w:val="Normal"/>
    <w:rsid w:val="00E82450"/>
    <w:pPr>
      <w:spacing w:after="120"/>
      <w:ind w:left="283"/>
    </w:pPr>
    <w:rPr>
      <w:lang w:val="en-US" w:eastAsia="en-US"/>
    </w:rPr>
  </w:style>
  <w:style w:type="paragraph" w:customStyle="1" w:styleId="3-NormalYaz">
    <w:name w:val="3-Normal Yazı"/>
    <w:rsid w:val="004E4A3D"/>
    <w:pPr>
      <w:tabs>
        <w:tab w:val="left" w:pos="566"/>
      </w:tabs>
      <w:jc w:val="both"/>
    </w:pPr>
    <w:rPr>
      <w:sz w:val="19"/>
      <w:lang w:eastAsia="en-US"/>
    </w:rPr>
  </w:style>
  <w:style w:type="paragraph" w:styleId="BalloonText">
    <w:name w:val="Balloon Text"/>
    <w:basedOn w:val="Normal"/>
    <w:link w:val="BalloonTextChar"/>
    <w:rsid w:val="00505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E36"/>
    <w:rPr>
      <w:rFonts w:ascii="Tahoma" w:hAnsi="Tahoma" w:cs="Tahoma"/>
      <w:sz w:val="16"/>
      <w:szCs w:val="16"/>
    </w:rPr>
  </w:style>
  <w:style w:type="table" w:styleId="ColorfulList-Accent6">
    <w:name w:val="Colorful List Accent 6"/>
    <w:basedOn w:val="TableNormal"/>
    <w:uiPriority w:val="72"/>
    <w:rsid w:val="006A798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BodyText3">
    <w:name w:val="Body Text 3"/>
    <w:basedOn w:val="Normal"/>
    <w:link w:val="BodyText3Char"/>
    <w:rsid w:val="006A79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798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A798D"/>
    <w:pPr>
      <w:ind w:left="720"/>
      <w:contextualSpacing/>
    </w:pPr>
  </w:style>
  <w:style w:type="paragraph" w:customStyle="1" w:styleId="NormalWeb5">
    <w:name w:val="Normal (Web)5"/>
    <w:basedOn w:val="Normal"/>
    <w:rsid w:val="00E1565D"/>
    <w:pPr>
      <w:spacing w:before="100" w:beforeAutospacing="1" w:after="100" w:afterAutospacing="1" w:line="255" w:lineRule="atLeast"/>
      <w:jc w:val="both"/>
    </w:pPr>
    <w:rPr>
      <w:rFonts w:ascii="Tahoma" w:eastAsia="SimSun" w:hAnsi="Tahoma" w:cs="Tahoma"/>
      <w:color w:val="000000"/>
      <w:sz w:val="18"/>
      <w:szCs w:val="18"/>
      <w:lang w:eastAsia="zh-CN"/>
    </w:rPr>
  </w:style>
  <w:style w:type="paragraph" w:customStyle="1" w:styleId="Normal1">
    <w:name w:val="Normal 1"/>
    <w:basedOn w:val="Normal"/>
    <w:rsid w:val="00E1565D"/>
    <w:pPr>
      <w:tabs>
        <w:tab w:val="center" w:pos="6120"/>
      </w:tabs>
      <w:jc w:val="both"/>
    </w:pPr>
    <w:rPr>
      <w:rFonts w:ascii="Courier New" w:hAnsi="Courier New" w:cs="Courier New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E7A72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FollowedHyperlink">
    <w:name w:val="FollowedHyperlink"/>
    <w:basedOn w:val="DefaultParagraphFont"/>
    <w:rsid w:val="00396C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20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2098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6209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13081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106A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gidegundem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7828B-6259-4865-A195-8B58D51B7689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64335</vt:lpwstr>
  </property>
  <property fmtid="{D5CDD505-2E9C-101B-9397-08002B2CF9AE}" pid="4" name="OptimizationTime">
    <vt:lpwstr>20190614_0940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Sirküler No: 004</vt:lpstr>
    </vt:vector>
  </TitlesOfParts>
  <Company>Ernst &amp; Young</Company>
  <LinksUpToDate>false</LinksUpToDate>
  <CharactersWithSpaces>13666</CharactersWithSpaces>
  <SharedDoc>false</SharedDoc>
  <HLinks>
    <vt:vector size="12" baseType="variant">
      <vt:variant>
        <vt:i4>2097191</vt:i4>
      </vt:variant>
      <vt:variant>
        <vt:i4>3</vt:i4>
      </vt:variant>
      <vt:variant>
        <vt:i4>0</vt:i4>
      </vt:variant>
      <vt:variant>
        <vt:i4>5</vt:i4>
      </vt:variant>
      <vt:variant>
        <vt:lpwstr>http://www.ey.com/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http://www.vergidegundem.com/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Sirküler No: 024</dc:title>
  <dc:creator>serkan.kesim</dc:creator>
  <cp:lastModifiedBy>Esra Akyuz</cp:lastModifiedBy>
  <cp:revision>3</cp:revision>
  <cp:lastPrinted>2014-12-30T13:54:00Z</cp:lastPrinted>
  <dcterms:created xsi:type="dcterms:W3CDTF">2019-06-14T06:30:00Z</dcterms:created>
  <dcterms:modified xsi:type="dcterms:W3CDTF">2019-06-14T06:38:00Z</dcterms:modified>
</cp:coreProperties>
</file>